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6F" w:rsidRPr="00C5386F" w:rsidRDefault="00C5386F" w:rsidP="00C5386F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Arial"/>
          <w:color w:val="000000"/>
          <w:sz w:val="15"/>
          <w:szCs w:val="15"/>
          <w:lang w:eastAsia="it-IT"/>
        </w:rPr>
      </w:pPr>
      <w:r w:rsidRPr="00C5386F">
        <w:rPr>
          <w:rFonts w:ascii="Open Sans" w:eastAsia="Times New Roman" w:hAnsi="Open Sans" w:cs="Arial"/>
          <w:b/>
          <w:bCs/>
          <w:color w:val="000000"/>
          <w:sz w:val="15"/>
          <w:szCs w:val="15"/>
          <w:lang w:eastAsia="it-IT"/>
        </w:rPr>
        <w:t>IL LAVORO AGILE IN SINTESI</w:t>
      </w:r>
    </w:p>
    <w:p w:rsidR="00C5386F" w:rsidRPr="00C5386F" w:rsidRDefault="00C5386F" w:rsidP="00C5386F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Arial"/>
          <w:color w:val="000000"/>
          <w:sz w:val="15"/>
          <w:szCs w:val="15"/>
          <w:lang w:eastAsia="it-IT"/>
        </w:rPr>
      </w:pPr>
      <w:r w:rsidRPr="00C5386F">
        <w:rPr>
          <w:rFonts w:ascii="Open Sans" w:eastAsia="Times New Roman" w:hAnsi="Open Sans" w:cs="Arial"/>
          <w:b/>
          <w:bCs/>
          <w:color w:val="000000"/>
          <w:sz w:val="15"/>
          <w:szCs w:val="15"/>
          <w:lang w:eastAsia="it-IT"/>
        </w:rPr>
        <w:t xml:space="preserve">DIFFERENZE </w:t>
      </w:r>
      <w:r w:rsidRPr="00C5386F">
        <w:rPr>
          <w:rFonts w:ascii="Open Sans" w:eastAsia="Times New Roman" w:hAnsi="Open Sans" w:cs="Arial"/>
          <w:b/>
          <w:bCs/>
          <w:i/>
          <w:iCs/>
          <w:color w:val="000000"/>
          <w:sz w:val="15"/>
          <w:szCs w:val="15"/>
          <w:lang w:eastAsia="it-IT"/>
        </w:rPr>
        <w:t>SMART WORKING</w:t>
      </w:r>
      <w:r w:rsidRPr="00C5386F">
        <w:rPr>
          <w:rFonts w:ascii="Open Sans" w:eastAsia="Times New Roman" w:hAnsi="Open Sans" w:cs="Arial"/>
          <w:b/>
          <w:bCs/>
          <w:color w:val="000000"/>
          <w:sz w:val="15"/>
          <w:szCs w:val="15"/>
          <w:lang w:eastAsia="it-IT"/>
        </w:rPr>
        <w:t>-TELELAVORO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3208"/>
        <w:gridCol w:w="3209"/>
      </w:tblGrid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SMART WORKING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TELELAVORO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Caratteristiche generali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Lo</w:t>
            </w:r>
            <w:r w:rsidRPr="00C5386F">
              <w:rPr>
                <w:rFonts w:ascii="Open Sans" w:eastAsia="Times New Roman" w:hAnsi="Open Sans" w:cs="Times New Roman"/>
                <w:i/>
                <w:iCs/>
                <w:color w:val="656565"/>
                <w:sz w:val="20"/>
                <w:szCs w:val="20"/>
                <w:lang w:eastAsia="it-IT"/>
              </w:rPr>
              <w:t xml:space="preserve"> Smart </w:t>
            </w:r>
            <w:proofErr w:type="spellStart"/>
            <w:r w:rsidRPr="00C5386F">
              <w:rPr>
                <w:rFonts w:ascii="Open Sans" w:eastAsia="Times New Roman" w:hAnsi="Open Sans" w:cs="Times New Roman"/>
                <w:i/>
                <w:iCs/>
                <w:color w:val="656565"/>
                <w:sz w:val="20"/>
                <w:szCs w:val="20"/>
                <w:lang w:eastAsia="it-IT"/>
              </w:rPr>
              <w:t>Worker</w:t>
            </w:r>
            <w:proofErr w:type="spell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non ha una postazione fissa né in Azienda, né al domicilio.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Telelavoratore ha una</w:t>
            </w: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 xml:space="preserve"> postazione fissa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di lavoro, di norma al proprio domicilio.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Forma dell'Accordo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Obbligo di forma scritta ai fini della regolarità amministrativa e della prova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Nessun obbligo di forma scritta.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 xml:space="preserve">Durata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Durata a tempo determinato o indeterminato.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Recesso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Accordo è a tempo indeterminato: preavviso di recesso non inferiore a 30 gg.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(</w:t>
            </w: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90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gg., se esercitato dal Datore di Lavoro, in caso di lavoratori disabili).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-Nessuna previsione specifica su durata e recesso;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-Accordo sul Telelavoro è sempre reversibile.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Doveri del Datore di lavoro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Datore di Lavoro deve retribuire i lavoratori agili almeno come quei Lavoratori che svolgono le medesime mansioni esclusivamente all’interno dell’Azienda.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Datore di Lavoro deve: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1)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Retribuire il Telelavoratore almeno come quei Lavoratori che svolgono le medesime mansioni esclusivamente all’interno dell’Azienda;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2)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Assicurare al Telelavoratore un carico di lavoro equivalente ai Lavoratori Dipendenti "normali";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3)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Adottare misure dirette a prevenire l’isolamento del telelavoratore;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4)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Assicurare ai telelavoratori le medesime opportunità di accesso alla formazione e di carriera dei lavoratori dipendenti "normali";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lastRenderedPageBreak/>
              <w:t>5)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Assicurare ai telelavoratori uguali criteri di valutazione di tali lavoratori dipendenti "normali";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6)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Assicurare ai telelavoratori una formazione specifica, sui </w:t>
            </w:r>
            <w:proofErr w:type="spell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congeni</w:t>
            </w:r>
            <w:proofErr w:type="spell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telematici utilizzati e sul telelavoro.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lastRenderedPageBreak/>
              <w:t xml:space="preserve">Controllo a distanza 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(Art. 4 legge 300/1970)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contratto di assunzione deve contenere norme mirate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Nessuna previsione specifica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Norme disciplinari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Il contratto di assunzione deve individuare gli illeciti disciplinari propri dello Smart </w:t>
            </w:r>
            <w:proofErr w:type="spell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Worker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Nessuna previsione specifica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Protezione dati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Sì applica il D.lgs. 196/2003 (Decreto Privacy)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Datore di Lavoro deve: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1)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Adottare misure appropriate per proteggere i dati personali trattati dal telelavoratore;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2)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Informare il telelavoratore sulle norme di legge e aziendali dedicate alla protezione dei dati;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3)</w:t>
            </w: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Richiedere al Telelavoratore l'osservanza di queste misure.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Strumenti di lavoro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 contratto di assunzione regola le modalità di utilizzo degli strumenti di lavoro.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proofErr w:type="gram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il</w:t>
            </w:r>
            <w:proofErr w:type="gram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Datore di Lavoro è responsabile della fornitura, dell’installazione e della manutenzione degli strumenti di lavoro (a meno che il telelavoratore faccia uso di strumenti propria).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Sicurezza del Lavoro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Il Datore di Lavoro </w:t>
            </w:r>
            <w:proofErr w:type="gram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deve  consegnare</w:t>
            </w:r>
            <w:proofErr w:type="gram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aogni</w:t>
            </w:r>
            <w:proofErr w:type="spell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anno </w:t>
            </w:r>
            <w:proofErr w:type="spellStart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l</w:t>
            </w:r>
            <w:proofErr w:type="spellEnd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 xml:space="preserve"> Lavoratore  e al Rappresentante dei Lavoratori per la Sicurezza, un'informativa sui rischi generali e i rischi specifici del lavoro agile.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lastRenderedPageBreak/>
              <w:t> 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lastRenderedPageBreak/>
              <w:t>-Il Datore di Lavoro è responsabile;</w:t>
            </w:r>
          </w:p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i/>
                <w:iCs/>
                <w:color w:val="656565"/>
                <w:sz w:val="20"/>
                <w:szCs w:val="20"/>
                <w:lang w:eastAsia="it-IT"/>
              </w:rPr>
              <w:t>– il Datore di Lavoro, le Rappresentanze dei Lavoratori, le Autorità competenti possono ispezionare il luogo in cui viene svolto il telelavoro.</w:t>
            </w:r>
          </w:p>
        </w:tc>
      </w:tr>
      <w:tr w:rsidR="00C5386F" w:rsidRPr="00C5386F" w:rsidTr="00C5386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b/>
                <w:bCs/>
                <w:color w:val="656565"/>
                <w:sz w:val="20"/>
                <w:szCs w:val="20"/>
                <w:lang w:eastAsia="it-IT"/>
              </w:rPr>
              <w:t>Infortuni sul Lavoro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Spetta la tutela contro gli infortuni sul lavoro (INAIL), ovunq</w:t>
            </w:r>
            <w:r w:rsidR="00875A2C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ue il Lavoratore Agile presti, </w:t>
            </w:r>
            <w:bookmarkStart w:id="0" w:name="_GoBack"/>
            <w:bookmarkEnd w:id="0"/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da contratto,  la propria opera.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5386F" w:rsidRPr="00C5386F" w:rsidRDefault="00C5386F" w:rsidP="00C5386F">
            <w:pPr>
              <w:spacing w:before="240" w:after="240" w:line="240" w:lineRule="auto"/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</w:pPr>
            <w:r w:rsidRPr="00C5386F">
              <w:rPr>
                <w:rFonts w:ascii="Open Sans" w:eastAsia="Times New Roman" w:hAnsi="Open Sans" w:cs="Times New Roman"/>
                <w:color w:val="656565"/>
                <w:sz w:val="20"/>
                <w:szCs w:val="20"/>
                <w:lang w:eastAsia="it-IT"/>
              </w:rPr>
              <w:t>Spetta la tutela contro gli infortuni sul lavoro (INAIL), al Telelavoratore, di norma, nella postazione fissa.</w:t>
            </w:r>
          </w:p>
        </w:tc>
      </w:tr>
    </w:tbl>
    <w:p w:rsidR="00C5386F" w:rsidRPr="00C5386F" w:rsidRDefault="00C5386F" w:rsidP="00C5386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000000"/>
          <w:sz w:val="15"/>
          <w:szCs w:val="15"/>
          <w:lang w:eastAsia="it-IT"/>
        </w:rPr>
      </w:pPr>
      <w:r w:rsidRPr="00C5386F">
        <w:rPr>
          <w:rFonts w:ascii="Open Sans" w:eastAsia="Times New Roman" w:hAnsi="Open Sans" w:cs="Arial"/>
          <w:color w:val="000000"/>
          <w:sz w:val="15"/>
          <w:szCs w:val="15"/>
          <w:lang w:eastAsia="it-IT"/>
        </w:rPr>
        <w:t>6</w:t>
      </w:r>
      <w:r w:rsidRPr="00C5386F">
        <w:rPr>
          <w:rFonts w:ascii="Open Sans" w:eastAsia="Times New Roman" w:hAnsi="Open Sans" w:cs="Arial"/>
          <w:color w:val="000000"/>
          <w:sz w:val="15"/>
          <w:szCs w:val="15"/>
          <w:lang w:eastAsia="it-IT"/>
        </w:rPr>
        <w:br/>
      </w:r>
    </w:p>
    <w:p w:rsidR="00A701BB" w:rsidRDefault="00A701BB"/>
    <w:sectPr w:rsidR="00A70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F"/>
    <w:rsid w:val="00875A2C"/>
    <w:rsid w:val="00A701BB"/>
    <w:rsid w:val="00C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737E-606A-491C-BCCD-803DA62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771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91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Dell'armi Felice</dc:creator>
  <cp:keywords/>
  <dc:description/>
  <cp:lastModifiedBy>Dell'armi Felice</cp:lastModifiedBy>
  <cp:revision>1</cp:revision>
  <cp:lastPrinted>2017-06-26T09:11:00Z</cp:lastPrinted>
  <dcterms:created xsi:type="dcterms:W3CDTF">2017-06-26T09:10:00Z</dcterms:created>
  <dcterms:modified xsi:type="dcterms:W3CDTF">2017-06-26T09:35:00Z</dcterms:modified>
</cp:coreProperties>
</file>